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A9" w:rsidRPr="008952A9" w:rsidRDefault="008952A9" w:rsidP="008952A9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8952A9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ПАСПОРТ НАЦИОНАЛЬНОГО ПРОЕКТА "ДЕМОГРАФИЯ"</w:t>
      </w:r>
    </w:p>
    <w:p w:rsidR="008952A9" w:rsidRPr="008952A9" w:rsidRDefault="008952A9" w:rsidP="008952A9">
      <w:pPr>
        <w:numPr>
          <w:ilvl w:val="0"/>
          <w:numId w:val="1"/>
        </w:numPr>
        <w:shd w:val="clear" w:color="auto" w:fill="FFFFFF"/>
        <w:spacing w:before="225" w:after="100" w:afterAutospacing="1" w:line="248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tooltip="Pasport-Demografiya.pdf" w:history="1">
        <w:r w:rsidRPr="008952A9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Скачать документ </w:t>
        </w:r>
        <w:r w:rsidRPr="008952A9">
          <w:rPr>
            <w:rFonts w:ascii="Arial" w:eastAsia="Times New Roman" w:hAnsi="Arial" w:cs="Arial"/>
            <w:i/>
            <w:iCs/>
            <w:color w:val="008ACF"/>
            <w:sz w:val="23"/>
            <w:szCs w:val="23"/>
            <w:lang w:eastAsia="ru-RU"/>
          </w:rPr>
          <w:t>(формат .pdf)</w:t>
        </w:r>
        <w:r w:rsidRPr="008952A9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 </w:t>
        </w:r>
      </w:hyperlink>
      <w:r w:rsidRPr="008952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(542 КБ)</w:t>
      </w:r>
    </w:p>
    <w:p w:rsidR="008952A9" w:rsidRPr="008952A9" w:rsidRDefault="008952A9" w:rsidP="008952A9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Паспорт национального проекта "Демография" состоит из пяти Федеральных проектов.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Федеральный проект "Финансовая поддержка семей при рождении детей"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Всего за время проекта выплаты на первого ребенка получат не менее 1,3 млн. семей, в которых среднедушевой доход на каждого члена семьи не превышает 1,5 кратную величину прожиточного минимума трудоспособного населения.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1 января 2019 г. до 31 декабря 2021 г. будет продлено действие программы материнского (семейного) капитала и все семьи, имеющие двух и более детей, получат государственный сертификат на материнский (семейный) капитал, а это не менее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1,6 млн. семей.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менее 415,5 тыс. семей, имеющих трех и более детей, проживающих в регионах, в которых сложилась неблагоприятная демографическая ситуация и величина суммарного коэффициента рождаемости не превышает 2, получат ежемесячную денежную выплату, назначаемую в случае рождения третьего ребенка или последующих детей до достижения ребенком возраста 3 лет.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2024 году в 5 раз увеличится количество активно вовлеченных российских кредитных организаций, предоставляющих ипотечные кредиты (займы) гражданам, имеющим детей по ставке 6 процентов годовых.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Кроме того, будут увеличены объемы экстракорпорального оплодотворения, что даст возможность не менее 450,0 тыс. циклов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Реализация Федерального проекта "Финансовая поддержка семей при рождении детей" носит межведомственный и системный характер, ведет к достижению целевого показателя № 2 Национального проекта.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рамках федерального проекта "Содействие занятости женщин - создание условий дошкольного образования для детей в возрасте до трех лет" одним из направлений является организация переобучения и повышения квалификации женщин в период отпуска по уходу за ребенком в возрасте до трех лет.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Реализация указанных мероприятий будет способствовать повышению конкурентоспособности и на рынке труда и профессиональной мобильности, развитию занятости женщин, имеющих детей, и обеспечит возможность совмещать трудовую занятость с семейными обязанностями.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Еще 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 Когда появляется первый ребенок, очень важно помочь молодой семье 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ребенка. Предоставление субъектам Российской Федерации финансовых средств из федерального бюджета позволит быстро построить новые детские сады. Создание 255 тысяч новых мест в детских садах для самых маленьких воспитанников обеспечивает доступность дошкольного образования и повышает качество жизни граждан России.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Также для семьи, имеющей маленького ребенка, очень важно знать, что в детском саду с ребенком организована работа с учетом его особенностей. Достичь такого индивидуального подхода возможно также в негосударственных организациях. Этому будет способствовать создание 16 тысяч дополнительных мест в негосударственном секторе дошкольного образования. Мероприятия проекта позволяют достичь этого результата в короткие сроки.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федеральный проект "Создание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лет"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оценке Минтруда России предполагаемая численность участников мероприятия ежегодно в среднем составит порядка 43,8 тыс. человек. Указанная численность рассчитана исходя из охвата программами обучения женщин, находящихся в отпуске по уходу за ребенком в возрасте до трех лет, и перспективной потребности.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Средняя стоимость курса (до 6 месяцев) обучения женщин, находящихся в отпуске по уходу за ребенком в возрасте до трех лет, ежегодно составляет: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2020 - 2021 годах: 48,949 тыс. рублей;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2022 - 2024 годах: 49,936 тыс. рублей.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Учитывая вышеизложенное, затраты на реализацию данного мероприятия в 2020 - 2024 годах составят: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ежегодно в 2020 - 2021 годах: 48,949 тыс. рублей × 38500 человек = 1 884,54 млн. рублей;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ежегодно в 2022 - 2024 годах: 49,936 тыс. рублей × 49000 человек = 2 446,88 млн. рублей.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Всего на реализацию мероприятия по организации переобучения и повышения квалификации женщин в период отпуска по уходу за ребенком в возрасте до трех лет потребуется: 2 × 1 884,54 млн. рублей + 3 × 2 446,88 млн. рублей = 11 109,72 млн. рублей.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Федеральный проект "Старшее поколение" носит межведомственны характер и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Важнейшими задачами общества являются признание важности людей старшего поколения формирование образа бздорового старения. Необходимо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Для этого во всех 85 субъектах Российской Федерации будут приняты или актуализированы региональные программы, направленные на укрепление здоровья, увеличение периода активного долголетия и продолжительности здоровой жизни. Будет охвачено диспансеризацией не менее 28 миллионов лиц старше трудоспособного возраста, при этом важной особенность. Будет развиваться преемственность служб и развитие диспансерного наблюдения. Более 25 миллионов пожилых граждан будут охвачены диспансерным наблюдением.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 всех 85 регионах в 2024 году будет создана система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Будет полностью обновлена материально-техническая база стационарных организаций социального обслуживания, обеспечивающая комфортное проживание граждан, приближенное к домашним условиям, а также получение инвалидами, в том числе с ментальными нарушениями, навыков самостоятельного проживания.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2024 году на 33,6 процента увеличился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 всех регионах будут созданы региональные гериатрические центры, в которых помощь получат не менее 850,0 тыс. граждан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занятости, в том числе в части обеспечения их конкурентоспособности на рынке труда. Для этих целей проектом предусмотрено обучение граждан предпенсионного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рамках Федерального проекта "Укрепление общественного здоровья" будут 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микронутриентной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мониторинг за состоянием питания различных групп населения с применением научных исследований, мотивирование через таргетированные коммуникации, активное вовлечение гражданского общества, а также работодателей через корпоративные программы укрепления здоровья. Федеральный проект предусматривает мероприятия, запланированные ранее приоритетным проектом "Формирование здорового образа жизни", включая преемственность финансового обеспечения этих мероприятий.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Кроме того, будет усовершенствована деятельность центров здоровья и отделений (кабинетов) медицинской профилактики, их дооснащение и создание на их базе центров общественного здоровья, в которых будет обучено не менее 42,5 млн. человек.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Успешная реализация проекта повлияет на достижение целей национального проекта по увеличению ожидаемой продолжительности здоровой жизни, увеличению числа граждан, ведущих здоровый образ жизни и числа граждан, систематически занимающихся физической культурой и спортом.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рамках Федерального проекта "Спорт-норма жизни " будет решена задача по созданию для всех категорий и групп граждан условий для занятий физической культурой и спортом, массовым спортом, в том числе повышению уровня обеспеченности населения объектами спорта, и подготовки спортивного резерва, что позволит к 2024 году привлечь более половины населения к систематическим занятиям физической культурой и спортом.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Регулярные занятия физической культурой и спортом являются универсальным механизмом сохранения и укрепления здоровья, влияют на уровень физической подготовленности и работоспособности населения.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Практическая значимость поддержания необходимого уровня двигательной активности подкреплена данными Всемирной организации здравоохранения (ВОЗ), согласно которым двигательная инертность является четвертым по значимости фактором риска, влияющим на показатели смертности. В Глобальных рекомендациях по физической активности для здоровья, принятых ВОЗ в 2010 году, занятия физической культурой и спортом рассматриваются как эффективная форма профилактики заболеваемости, прежде всего, неинфекционных заболеваний. Показательно, что страны с высоким уровнем развития массового спорта одновременно лидируют и по средней продолжительности жизни населения.</w:t>
      </w:r>
      <w:r w:rsidRPr="008952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Комплексный эффект запланированных федеральным проектом мероприятий по активизации соревновательной деятельности, повышению доступности спортивной инфраструктуры и физкультурно-оздоровительных услуг, формированию персональной мотивации к физическому развитию и самореализации, вносит вклад в увеличение ожидаемой продолжительности здоровой жизни.</w:t>
      </w:r>
    </w:p>
    <w:p w:rsidR="004B1BA7" w:rsidRDefault="004B1BA7">
      <w:bookmarkStart w:id="0" w:name="_GoBack"/>
      <w:bookmarkEnd w:id="0"/>
    </w:p>
    <w:sectPr w:rsidR="004B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901C1"/>
    <w:multiLevelType w:val="multilevel"/>
    <w:tmpl w:val="E866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A9"/>
    <w:rsid w:val="004B1BA7"/>
    <w:rsid w:val="008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524EF2-8F49-487C-B159-BF0FC9D2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1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sr.admhmao.ru/upload/iblock/250/Pasport-Demograf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1743</Words>
  <Characters>9940</Characters>
  <Application>Microsoft Office Word</Application>
  <DocSecurity>0</DocSecurity>
  <Lines>82</Lines>
  <Paragraphs>23</Paragraphs>
  <ScaleCrop>false</ScaleCrop>
  <Company>Microsoft</Company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2020-03-13T07:08:00Z</dcterms:created>
  <dcterms:modified xsi:type="dcterms:W3CDTF">2020-03-13T07:10:00Z</dcterms:modified>
</cp:coreProperties>
</file>